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ewsletterTable"/>
        <w:tblW w:w="3220" w:type="pct"/>
        <w:tblLook w:val="0660" w:firstRow="1" w:lastRow="1" w:firstColumn="0" w:lastColumn="0" w:noHBand="1" w:noVBand="1"/>
        <w:tblDescription w:val="Title"/>
      </w:tblPr>
      <w:tblGrid>
        <w:gridCol w:w="6955"/>
      </w:tblGrid>
      <w:tr w:rsidR="005D5BF5" w14:paraId="221D28A7"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221D28A6" w14:textId="77777777" w:rsidR="005D5BF5" w:rsidRDefault="005D5BF5">
            <w:pPr>
              <w:pStyle w:val="TableSpace"/>
            </w:pPr>
          </w:p>
        </w:tc>
      </w:tr>
      <w:tr w:rsidR="005D5BF5" w14:paraId="221D28A9" w14:textId="77777777" w:rsidTr="005D5BF5">
        <w:tc>
          <w:tcPr>
            <w:tcW w:w="5000" w:type="pct"/>
          </w:tcPr>
          <w:p w14:paraId="221D28A8" w14:textId="4AD00E6D" w:rsidR="005D5BF5" w:rsidRPr="0040760A" w:rsidRDefault="008C7414" w:rsidP="00FE2321">
            <w:pPr>
              <w:pStyle w:val="Title"/>
              <w:ind w:left="270"/>
              <w:rPr>
                <w:sz w:val="44"/>
                <w:szCs w:val="44"/>
              </w:rPr>
            </w:pPr>
            <w:r w:rsidRPr="006B2D43">
              <w:rPr>
                <w:sz w:val="40"/>
                <w:szCs w:val="44"/>
              </w:rPr>
              <w:t>U</w:t>
            </w:r>
            <w:r w:rsidR="00CF247B" w:rsidRPr="006B2D43">
              <w:rPr>
                <w:sz w:val="40"/>
                <w:szCs w:val="44"/>
              </w:rPr>
              <w:t>nit 6</w:t>
            </w:r>
            <w:proofErr w:type="gramStart"/>
            <w:r w:rsidR="008168EC" w:rsidRPr="006B2D43">
              <w:rPr>
                <w:sz w:val="40"/>
                <w:szCs w:val="44"/>
              </w:rPr>
              <w:t>:</w:t>
            </w:r>
            <w:r w:rsidR="008E572B" w:rsidRPr="006B2D43">
              <w:rPr>
                <w:sz w:val="40"/>
                <w:szCs w:val="44"/>
              </w:rPr>
              <w:t>Methods</w:t>
            </w:r>
            <w:proofErr w:type="gramEnd"/>
            <w:r w:rsidR="008E572B" w:rsidRPr="006B2D43">
              <w:rPr>
                <w:sz w:val="40"/>
                <w:szCs w:val="44"/>
              </w:rPr>
              <w:t xml:space="preserve"> of Integration, Logistic Growth &amp; Euler’s Method</w:t>
            </w:r>
          </w:p>
        </w:tc>
      </w:tr>
      <w:tr w:rsidR="005D5BF5" w14:paraId="221D28AB"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221D28AA" w14:textId="77777777" w:rsidR="005D5BF5" w:rsidRDefault="005D5BF5">
            <w:pPr>
              <w:pStyle w:val="TableSpace"/>
            </w:pPr>
          </w:p>
        </w:tc>
      </w:tr>
    </w:tbl>
    <w:p w14:paraId="221D28AC" w14:textId="0BCDFAB5" w:rsidR="008C7414" w:rsidRPr="006B2D43" w:rsidRDefault="000B562A" w:rsidP="008C7414">
      <w:pPr>
        <w:rPr>
          <w:color w:val="704A85" w:themeColor="accent5" w:themeShade="BF"/>
          <w:sz w:val="36"/>
          <w:szCs w:val="40"/>
        </w:rPr>
      </w:pPr>
      <w:r w:rsidRPr="006B2D43">
        <w:rPr>
          <w:noProof/>
          <w:sz w:val="16"/>
          <w:szCs w:val="18"/>
        </w:rPr>
        <mc:AlternateContent>
          <mc:Choice Requires="wps">
            <w:drawing>
              <wp:anchor distT="0" distB="0" distL="114300" distR="114300" simplePos="0" relativeHeight="251663360" behindDoc="0" locked="0" layoutInCell="1" allowOverlap="0" wp14:anchorId="221D28D1" wp14:editId="3499C154">
                <wp:simplePos x="0" y="0"/>
                <wp:positionH relativeFrom="page">
                  <wp:posOffset>5086350</wp:posOffset>
                </wp:positionH>
                <wp:positionV relativeFrom="margin">
                  <wp:align>top</wp:align>
                </wp:positionV>
                <wp:extent cx="2331720" cy="73914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2331720" cy="739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D28D9" w14:textId="14590409" w:rsidR="00481C43" w:rsidRDefault="003D3118">
                            <w:pPr>
                              <w:pStyle w:val="Photo"/>
                            </w:pPr>
                            <w:r>
                              <w:rPr>
                                <w:noProof/>
                              </w:rPr>
                              <w:drawing>
                                <wp:inline distT="0" distB="0" distL="0" distR="0" wp14:anchorId="4F2AE13A" wp14:editId="2556F746">
                                  <wp:extent cx="2288540" cy="1564405"/>
                                  <wp:effectExtent l="0" t="0" r="0" b="0"/>
                                  <wp:docPr id="2" name="Picture 2" descr="http://classes.design.ucla.edu/Winter06/161B/projects/eric/ps2/fish-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lasses.design.ucla.edu/Winter06/161B/projects/eric/ps2/fish-schoo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8540" cy="1564405"/>
                                          </a:xfrm>
                                          <a:prstGeom prst="rect">
                                            <a:avLst/>
                                          </a:prstGeom>
                                          <a:noFill/>
                                          <a:ln>
                                            <a:noFill/>
                                          </a:ln>
                                        </pic:spPr>
                                      </pic:pic>
                                    </a:graphicData>
                                  </a:graphic>
                                </wp:inline>
                              </w:drawing>
                            </w:r>
                          </w:p>
                          <w:p w14:paraId="221D28DA" w14:textId="77777777" w:rsidR="00481C43" w:rsidRDefault="00481C43">
                            <w:pPr>
                              <w:pStyle w:val="Heading1"/>
                            </w:pPr>
                            <w:r>
                              <w:t>Sample Problem:</w:t>
                            </w:r>
                          </w:p>
                          <w:p w14:paraId="221D28DB" w14:textId="3A9CAFCB" w:rsidR="00481C43" w:rsidRPr="002F6400" w:rsidRDefault="003D3118">
                            <w:r>
                              <w:t xml:space="preserve">Biologists stocked a lake with 400 fish and estimated the carrying capacity to be 10,000.  The number of fish tripled the first year.  Assuming that the size of the fish population satisfies the logistic equation, find an expression for the size of the population after </w:t>
                            </w:r>
                            <m:oMath>
                              <m:r>
                                <w:rPr>
                                  <w:rFonts w:ascii="Cambria Math" w:hAnsi="Cambria Math"/>
                                </w:rPr>
                                <m:t>t</m:t>
                              </m:r>
                            </m:oMath>
                            <w:r>
                              <w:rPr>
                                <w:rFonts w:eastAsiaTheme="minorEastAsia"/>
                              </w:rPr>
                              <w:t xml:space="preserve"> years.</w:t>
                            </w:r>
                          </w:p>
                          <w:tbl>
                            <w:tblPr>
                              <w:tblStyle w:val="NewsletterTable"/>
                              <w:tblW w:w="5000" w:type="pct"/>
                              <w:jc w:val="center"/>
                              <w:tblLook w:val="04A0" w:firstRow="1" w:lastRow="0" w:firstColumn="1" w:lastColumn="0" w:noHBand="0" w:noVBand="1"/>
                              <w:tblDescription w:val="Announcement table"/>
                            </w:tblPr>
                            <w:tblGrid>
                              <w:gridCol w:w="3604"/>
                            </w:tblGrid>
                            <w:tr w:rsidR="00481C43" w14:paraId="221D28DD"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221D28DC" w14:textId="77777777" w:rsidR="00481C43" w:rsidRDefault="00481C43">
                                  <w:pPr>
                                    <w:pStyle w:val="TableSpace"/>
                                  </w:pPr>
                                </w:p>
                              </w:tc>
                            </w:tr>
                            <w:tr w:rsidR="00481C43" w14:paraId="221D28E5" w14:textId="77777777" w:rsidTr="005D5BF5">
                              <w:trPr>
                                <w:trHeight w:val="5760"/>
                                <w:jc w:val="center"/>
                              </w:trPr>
                              <w:tc>
                                <w:tcPr>
                                  <w:tcW w:w="3439" w:type="dxa"/>
                                  <w:tcBorders>
                                    <w:top w:val="nil"/>
                                    <w:bottom w:val="nil"/>
                                  </w:tcBorders>
                                </w:tcPr>
                                <w:p w14:paraId="221D28DE" w14:textId="77777777" w:rsidR="00481C43" w:rsidRDefault="00481C43">
                                  <w:pPr>
                                    <w:pStyle w:val="Heading1"/>
                                    <w:outlineLvl w:val="0"/>
                                  </w:pPr>
                                  <w:r>
                                    <w:t>Additional Support:</w:t>
                                  </w:r>
                                </w:p>
                                <w:p w14:paraId="221D28E1" w14:textId="01C2C7CD" w:rsidR="00481C43" w:rsidRDefault="00481C43" w:rsidP="000B562A">
                                  <w:pPr>
                                    <w:pStyle w:val="ListParagraph"/>
                                    <w:numPr>
                                      <w:ilvl w:val="0"/>
                                      <w:numId w:val="2"/>
                                    </w:numPr>
                                  </w:pPr>
                                  <w:r>
                                    <w:t>Check the teacher web page and Canvas page for notes, activities, and assignments.</w:t>
                                  </w:r>
                                </w:p>
                                <w:p w14:paraId="221D28E3" w14:textId="55F4FB2F" w:rsidR="00481C43" w:rsidRDefault="00481C43" w:rsidP="000B562A">
                                  <w:pPr>
                                    <w:pStyle w:val="ListParagraph"/>
                                    <w:numPr>
                                      <w:ilvl w:val="0"/>
                                      <w:numId w:val="2"/>
                                    </w:numPr>
                                  </w:pPr>
                                  <w:r>
                                    <w:t xml:space="preserve">Search the topic on the web. </w:t>
                                  </w:r>
                                  <w:r w:rsidR="00C52DE6">
                                    <w:t>We recommend using K</w:t>
                                  </w:r>
                                  <w:r w:rsidR="00415FB3">
                                    <w:t>ha</w:t>
                                  </w:r>
                                  <w:r w:rsidR="00C52DE6">
                                    <w:t xml:space="preserve">n Academy and </w:t>
                                  </w:r>
                                  <w:proofErr w:type="spellStart"/>
                                  <w:r w:rsidR="00C52DE6">
                                    <w:t>CollegeBoard</w:t>
                                  </w:r>
                                  <w:proofErr w:type="spellEnd"/>
                                  <w:r w:rsidR="00C52DE6">
                                    <w:t xml:space="preserve"> Student Resources.</w:t>
                                  </w:r>
                                </w:p>
                                <w:p w14:paraId="221D28E4" w14:textId="77777777" w:rsidR="00481C43" w:rsidRDefault="00481C43" w:rsidP="008C7414">
                                  <w:pPr>
                                    <w:pStyle w:val="ListParagraph"/>
                                    <w:numPr>
                                      <w:ilvl w:val="0"/>
                                      <w:numId w:val="2"/>
                                    </w:numPr>
                                  </w:pPr>
                                  <w:r>
                                    <w:t>Attend tutorials.</w:t>
                                  </w:r>
                                </w:p>
                              </w:tc>
                            </w:tr>
                          </w:tbl>
                          <w:p w14:paraId="221D28E6" w14:textId="77777777" w:rsidR="00481C43" w:rsidRDefault="00481C43">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1D28D1" id="_x0000_t202" coordsize="21600,21600" o:spt="202" path="m,l,21600r21600,l21600,xe">
                <v:stroke joinstyle="miter"/>
                <v:path gradientshapeok="t" o:connecttype="rect"/>
              </v:shapetype>
              <v:shape id="Text Box 5" o:spid="_x0000_s1026" type="#_x0000_t202" alt="Newsletter sidebar 1" style="position:absolute;left:0;text-align:left;margin-left:400.5pt;margin-top:0;width:183.6pt;height:582pt;z-index:25166336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" o:allowoverlap="f" filled="f" stroked="f" strokeweight=".5pt">
                <v:textbox inset="1.44pt,0,1.44pt,0">
                  <w:txbxContent>
                    <w:p w14:paraId="221D28D9" w14:textId="14590409" w:rsidR="00481C43" w:rsidRDefault="003D3118">
                      <w:pPr>
                        <w:pStyle w:val="Photo"/>
                      </w:pPr>
                      <w:r>
                        <w:rPr>
                          <w:noProof/>
                        </w:rPr>
                        <w:drawing>
                          <wp:inline distT="0" distB="0" distL="0" distR="0" wp14:anchorId="4F2AE13A" wp14:editId="2556F746">
                            <wp:extent cx="2288540" cy="1564405"/>
                            <wp:effectExtent l="0" t="0" r="0" b="0"/>
                            <wp:docPr id="2" name="Picture 2" descr="http://classes.design.ucla.edu/Winter06/161B/projects/eric/ps2/fish-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lasses.design.ucla.edu/Winter06/161B/projects/eric/ps2/fish-schoo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8540" cy="1564405"/>
                                    </a:xfrm>
                                    <a:prstGeom prst="rect">
                                      <a:avLst/>
                                    </a:prstGeom>
                                    <a:noFill/>
                                    <a:ln>
                                      <a:noFill/>
                                    </a:ln>
                                  </pic:spPr>
                                </pic:pic>
                              </a:graphicData>
                            </a:graphic>
                          </wp:inline>
                        </w:drawing>
                      </w:r>
                    </w:p>
                    <w:p w14:paraId="221D28DA" w14:textId="77777777" w:rsidR="00481C43" w:rsidRDefault="00481C43">
                      <w:pPr>
                        <w:pStyle w:val="Heading1"/>
                      </w:pPr>
                      <w:r>
                        <w:t>Sample Problem:</w:t>
                      </w:r>
                    </w:p>
                    <w:p w14:paraId="221D28DB" w14:textId="3A9CAFCB" w:rsidR="00481C43" w:rsidRPr="002F6400" w:rsidRDefault="003D3118">
                      <w:r>
                        <w:t xml:space="preserve">Biologists stocked a lake with 400 fish and estimated the carrying capacity to be 10,000.  The number of fish tripled the first year.  Assuming that the size of the fish population satisfies the logistic equation, find an expression for the size of the population after </w:t>
                      </w:r>
                      <m:oMath>
                        <m:r>
                          <w:rPr>
                            <w:rFonts w:ascii="Cambria Math" w:hAnsi="Cambria Math"/>
                          </w:rPr>
                          <m:t>t</m:t>
                        </m:r>
                      </m:oMath>
                      <w:r>
                        <w:rPr>
                          <w:rFonts w:eastAsiaTheme="minorEastAsia"/>
                        </w:rPr>
                        <w:t xml:space="preserve"> years.</w:t>
                      </w:r>
                    </w:p>
                    <w:tbl>
                      <w:tblPr>
                        <w:tblStyle w:val="NewsletterTable"/>
                        <w:tblW w:w="5000" w:type="pct"/>
                        <w:jc w:val="center"/>
                        <w:tblLook w:val="04A0" w:firstRow="1" w:lastRow="0" w:firstColumn="1" w:lastColumn="0" w:noHBand="0" w:noVBand="1"/>
                        <w:tblDescription w:val="Announcement table"/>
                      </w:tblPr>
                      <w:tblGrid>
                        <w:gridCol w:w="3604"/>
                      </w:tblGrid>
                      <w:tr w:rsidR="00481C43" w14:paraId="221D28DD"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221D28DC" w14:textId="77777777" w:rsidR="00481C43" w:rsidRDefault="00481C43">
                            <w:pPr>
                              <w:pStyle w:val="TableSpace"/>
                            </w:pPr>
                          </w:p>
                        </w:tc>
                      </w:tr>
                      <w:tr w:rsidR="00481C43" w14:paraId="221D28E5" w14:textId="77777777" w:rsidTr="005D5BF5">
                        <w:trPr>
                          <w:trHeight w:val="5760"/>
                          <w:jc w:val="center"/>
                        </w:trPr>
                        <w:tc>
                          <w:tcPr>
                            <w:tcW w:w="3439" w:type="dxa"/>
                            <w:tcBorders>
                              <w:top w:val="nil"/>
                              <w:bottom w:val="nil"/>
                            </w:tcBorders>
                          </w:tcPr>
                          <w:p w14:paraId="221D28DE" w14:textId="77777777" w:rsidR="00481C43" w:rsidRDefault="00481C43">
                            <w:pPr>
                              <w:pStyle w:val="Heading1"/>
                              <w:outlineLvl w:val="0"/>
                            </w:pPr>
                            <w:r>
                              <w:t>Additional Support:</w:t>
                            </w:r>
                          </w:p>
                          <w:p w14:paraId="221D28E1" w14:textId="01C2C7CD" w:rsidR="00481C43" w:rsidRDefault="00481C43" w:rsidP="000B562A">
                            <w:pPr>
                              <w:pStyle w:val="ListParagraph"/>
                              <w:numPr>
                                <w:ilvl w:val="0"/>
                                <w:numId w:val="2"/>
                              </w:numPr>
                            </w:pPr>
                            <w:r>
                              <w:t>Check the teacher web page and Canvas page for notes, activities, and assignments.</w:t>
                            </w:r>
                          </w:p>
                          <w:p w14:paraId="221D28E3" w14:textId="55F4FB2F" w:rsidR="00481C43" w:rsidRDefault="00481C43" w:rsidP="000B562A">
                            <w:pPr>
                              <w:pStyle w:val="ListParagraph"/>
                              <w:numPr>
                                <w:ilvl w:val="0"/>
                                <w:numId w:val="2"/>
                              </w:numPr>
                            </w:pPr>
                            <w:r>
                              <w:t xml:space="preserve">Search the topic on the web. </w:t>
                            </w:r>
                            <w:r w:rsidR="00C52DE6">
                              <w:t>We recommend using K</w:t>
                            </w:r>
                            <w:r w:rsidR="00415FB3">
                              <w:t>ha</w:t>
                            </w:r>
                            <w:r w:rsidR="00C52DE6">
                              <w:t xml:space="preserve">n Academy and </w:t>
                            </w:r>
                            <w:proofErr w:type="spellStart"/>
                            <w:r w:rsidR="00C52DE6">
                              <w:t>CollegeBoard</w:t>
                            </w:r>
                            <w:proofErr w:type="spellEnd"/>
                            <w:r w:rsidR="00C52DE6">
                              <w:t xml:space="preserve"> Student Resources.</w:t>
                            </w:r>
                          </w:p>
                          <w:p w14:paraId="221D28E4" w14:textId="77777777" w:rsidR="00481C43" w:rsidRDefault="00481C43" w:rsidP="008C7414">
                            <w:pPr>
                              <w:pStyle w:val="ListParagraph"/>
                              <w:numPr>
                                <w:ilvl w:val="0"/>
                                <w:numId w:val="2"/>
                              </w:numPr>
                            </w:pPr>
                            <w:r>
                              <w:t>Attend tutorials.</w:t>
                            </w:r>
                          </w:p>
                        </w:tc>
                      </w:tr>
                    </w:tbl>
                    <w:p w14:paraId="221D28E6" w14:textId="77777777" w:rsidR="00481C43" w:rsidRDefault="00481C43">
                      <w:pPr>
                        <w:pStyle w:val="NoSpacing"/>
                      </w:pPr>
                    </w:p>
                  </w:txbxContent>
                </v:textbox>
                <w10:wrap type="square" side="left" anchorx="page" anchory="margin"/>
              </v:shape>
            </w:pict>
          </mc:Fallback>
        </mc:AlternateContent>
      </w:r>
      <w:r w:rsidR="008C7414" w:rsidRPr="006B2D43">
        <w:rPr>
          <w:color w:val="704A85" w:themeColor="accent5" w:themeShade="BF"/>
          <w:sz w:val="36"/>
          <w:szCs w:val="40"/>
        </w:rPr>
        <w:t>Our Learning Goals:</w:t>
      </w:r>
    </w:p>
    <w:p w14:paraId="221D28AD" w14:textId="77777777" w:rsidR="008C7414" w:rsidRDefault="008C7414" w:rsidP="008C7414">
      <w:pPr>
        <w:rPr>
          <w:b/>
          <w:sz w:val="32"/>
          <w:szCs w:val="32"/>
        </w:rPr>
      </w:pPr>
      <w:r w:rsidRPr="008C7414">
        <w:rPr>
          <w:b/>
          <w:sz w:val="32"/>
          <w:szCs w:val="32"/>
        </w:rPr>
        <w:t>We will:</w:t>
      </w:r>
    </w:p>
    <w:p w14:paraId="7FA46E85" w14:textId="72B4C6BC" w:rsidR="002F6400" w:rsidRDefault="008E572B" w:rsidP="002F6400">
      <w:pPr>
        <w:pStyle w:val="ListParagraph"/>
        <w:numPr>
          <w:ilvl w:val="0"/>
          <w:numId w:val="3"/>
        </w:numPr>
        <w:rPr>
          <w:sz w:val="20"/>
          <w:szCs w:val="18"/>
        </w:rPr>
      </w:pPr>
      <w:r>
        <w:rPr>
          <w:sz w:val="20"/>
          <w:szCs w:val="18"/>
        </w:rPr>
        <w:t>Use integration by parts</w:t>
      </w:r>
      <w:r w:rsidR="006B2D43">
        <w:rPr>
          <w:sz w:val="20"/>
          <w:szCs w:val="18"/>
        </w:rPr>
        <w:t xml:space="preserve"> and by partial fractions</w:t>
      </w:r>
      <w:r>
        <w:rPr>
          <w:sz w:val="20"/>
          <w:szCs w:val="18"/>
        </w:rPr>
        <w:t xml:space="preserve"> to solve applicable integrals</w:t>
      </w:r>
      <w:r w:rsidR="00B57EF5">
        <w:rPr>
          <w:sz w:val="20"/>
          <w:szCs w:val="18"/>
        </w:rPr>
        <w:t>.</w:t>
      </w:r>
    </w:p>
    <w:p w14:paraId="79835676" w14:textId="6814D1EF" w:rsidR="00B57EF5" w:rsidRDefault="008E572B" w:rsidP="002F6400">
      <w:pPr>
        <w:pStyle w:val="ListParagraph"/>
        <w:numPr>
          <w:ilvl w:val="0"/>
          <w:numId w:val="3"/>
        </w:numPr>
        <w:rPr>
          <w:sz w:val="20"/>
          <w:szCs w:val="18"/>
        </w:rPr>
      </w:pPr>
      <w:r>
        <w:rPr>
          <w:sz w:val="20"/>
          <w:szCs w:val="18"/>
        </w:rPr>
        <w:t>Analyze</w:t>
      </w:r>
      <w:r w:rsidR="006B2D43">
        <w:rPr>
          <w:sz w:val="20"/>
          <w:szCs w:val="18"/>
        </w:rPr>
        <w:t xml:space="preserve"> and interpret</w:t>
      </w:r>
      <w:r>
        <w:rPr>
          <w:sz w:val="20"/>
          <w:szCs w:val="18"/>
        </w:rPr>
        <w:t xml:space="preserve"> directional fields</w:t>
      </w:r>
      <w:r w:rsidR="006B2D43">
        <w:rPr>
          <w:sz w:val="20"/>
          <w:szCs w:val="18"/>
        </w:rPr>
        <w:t xml:space="preserve"> and differential equations</w:t>
      </w:r>
      <w:r>
        <w:rPr>
          <w:sz w:val="20"/>
          <w:szCs w:val="18"/>
        </w:rPr>
        <w:t xml:space="preserve"> related to logistic growth problems</w:t>
      </w:r>
      <w:r w:rsidR="00B57EF5">
        <w:rPr>
          <w:sz w:val="20"/>
          <w:szCs w:val="18"/>
        </w:rPr>
        <w:t>.</w:t>
      </w:r>
    </w:p>
    <w:p w14:paraId="1CE94E61" w14:textId="6DBC370F" w:rsidR="005A6CD3" w:rsidRDefault="005A6CD3" w:rsidP="002F6400">
      <w:pPr>
        <w:pStyle w:val="ListParagraph"/>
        <w:numPr>
          <w:ilvl w:val="0"/>
          <w:numId w:val="3"/>
        </w:numPr>
        <w:rPr>
          <w:sz w:val="20"/>
          <w:szCs w:val="18"/>
        </w:rPr>
      </w:pPr>
      <w:r>
        <w:rPr>
          <w:sz w:val="20"/>
          <w:szCs w:val="18"/>
        </w:rPr>
        <w:t xml:space="preserve">Apply </w:t>
      </w:r>
      <w:r w:rsidR="008E572B">
        <w:rPr>
          <w:sz w:val="20"/>
          <w:szCs w:val="18"/>
        </w:rPr>
        <w:t>Euler’s Method to estimating differential equation</w:t>
      </w:r>
      <w:r w:rsidR="006B2D43">
        <w:rPr>
          <w:sz w:val="20"/>
          <w:szCs w:val="18"/>
        </w:rPr>
        <w:t xml:space="preserve"> </w:t>
      </w:r>
      <w:r w:rsidR="008E572B">
        <w:rPr>
          <w:sz w:val="20"/>
          <w:szCs w:val="18"/>
        </w:rPr>
        <w:t>s</w:t>
      </w:r>
      <w:r w:rsidR="006B2D43">
        <w:rPr>
          <w:sz w:val="20"/>
          <w:szCs w:val="18"/>
        </w:rPr>
        <w:t>olutions</w:t>
      </w:r>
      <w:r>
        <w:rPr>
          <w:sz w:val="20"/>
          <w:szCs w:val="18"/>
        </w:rPr>
        <w:t>.</w:t>
      </w:r>
    </w:p>
    <w:p w14:paraId="1A752E36" w14:textId="4450BAA3" w:rsidR="006B2D43" w:rsidRDefault="006B2D43" w:rsidP="002F6400">
      <w:pPr>
        <w:pStyle w:val="ListParagraph"/>
        <w:numPr>
          <w:ilvl w:val="0"/>
          <w:numId w:val="3"/>
        </w:numPr>
        <w:rPr>
          <w:sz w:val="20"/>
          <w:szCs w:val="18"/>
        </w:rPr>
      </w:pPr>
      <w:r>
        <w:rPr>
          <w:sz w:val="20"/>
          <w:szCs w:val="18"/>
        </w:rPr>
        <w:t>Evaluate improper integrals.</w:t>
      </w:r>
    </w:p>
    <w:p w14:paraId="3A9D6C4E" w14:textId="32471C7E" w:rsidR="006B2D43" w:rsidRPr="002F6400" w:rsidRDefault="00FA7B30" w:rsidP="002F6400">
      <w:pPr>
        <w:pStyle w:val="ListParagraph"/>
        <w:numPr>
          <w:ilvl w:val="0"/>
          <w:numId w:val="3"/>
        </w:numPr>
        <w:rPr>
          <w:sz w:val="20"/>
          <w:szCs w:val="18"/>
        </w:rPr>
      </w:pPr>
      <w:r>
        <w:rPr>
          <w:sz w:val="20"/>
          <w:szCs w:val="18"/>
        </w:rPr>
        <w:t>Determine the length of an arc using integration.</w:t>
      </w:r>
    </w:p>
    <w:tbl>
      <w:tblPr>
        <w:tblStyle w:val="NewsletterTable"/>
        <w:tblW w:w="3220" w:type="pct"/>
        <w:tblLook w:val="0660" w:firstRow="1" w:lastRow="1" w:firstColumn="0" w:lastColumn="0" w:noHBand="1" w:noVBand="1"/>
        <w:tblDescription w:val="Intro letter"/>
      </w:tblPr>
      <w:tblGrid>
        <w:gridCol w:w="6955"/>
      </w:tblGrid>
      <w:tr w:rsidR="005D5BF5" w14:paraId="221D28B5"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221D28B4" w14:textId="77777777" w:rsidR="005D5BF5" w:rsidRDefault="005D5BF5">
            <w:pPr>
              <w:pStyle w:val="TableSpace"/>
            </w:pPr>
          </w:p>
        </w:tc>
      </w:tr>
      <w:tr w:rsidR="005D5BF5" w14:paraId="221D28BA" w14:textId="77777777" w:rsidTr="005D5BF5">
        <w:tc>
          <w:tcPr>
            <w:tcW w:w="6955" w:type="dxa"/>
          </w:tcPr>
          <w:p w14:paraId="221D28B6" w14:textId="6DDA892F" w:rsidR="008C7414" w:rsidRPr="006B2D43" w:rsidRDefault="005E0495" w:rsidP="006C0C3E">
            <w:pPr>
              <w:spacing w:after="80" w:line="276" w:lineRule="auto"/>
              <w:rPr>
                <w:b/>
                <w:sz w:val="40"/>
                <w:szCs w:val="48"/>
              </w:rPr>
            </w:pPr>
            <w:r w:rsidRPr="006B2D43">
              <w:rPr>
                <w:color w:val="704A85" w:themeColor="accent5" w:themeShade="BF"/>
                <w:sz w:val="40"/>
                <w:szCs w:val="48"/>
              </w:rPr>
              <w:t>Why do we study this?</w:t>
            </w:r>
          </w:p>
          <w:p w14:paraId="221D28B7" w14:textId="76EBC0E3" w:rsidR="00F678B9" w:rsidRPr="006B2D43" w:rsidRDefault="006B2D43" w:rsidP="00F678B9">
            <w:pPr>
              <w:pStyle w:val="ListParagraph"/>
              <w:numPr>
                <w:ilvl w:val="0"/>
                <w:numId w:val="1"/>
              </w:numPr>
              <w:spacing w:before="0"/>
              <w:rPr>
                <w:sz w:val="20"/>
              </w:rPr>
            </w:pPr>
            <w:r w:rsidRPr="006B2D43">
              <w:rPr>
                <w:sz w:val="20"/>
              </w:rPr>
              <w:t>Population growth patterns are used to determine community needs and requirements.</w:t>
            </w:r>
          </w:p>
          <w:p w14:paraId="43ABCE84" w14:textId="77777777" w:rsidR="00537126" w:rsidRPr="006B2D43" w:rsidRDefault="00B52357" w:rsidP="00045B98">
            <w:pPr>
              <w:pStyle w:val="ListParagraph"/>
              <w:numPr>
                <w:ilvl w:val="0"/>
                <w:numId w:val="1"/>
              </w:numPr>
              <w:rPr>
                <w:sz w:val="20"/>
              </w:rPr>
            </w:pPr>
            <w:r w:rsidRPr="006B2D43">
              <w:rPr>
                <w:sz w:val="20"/>
              </w:rPr>
              <w:t xml:space="preserve">Integration </w:t>
            </w:r>
            <w:r w:rsidR="00537126" w:rsidRPr="006B2D43">
              <w:rPr>
                <w:sz w:val="20"/>
              </w:rPr>
              <w:t>allow</w:t>
            </w:r>
            <w:r w:rsidRPr="006B2D43">
              <w:rPr>
                <w:sz w:val="20"/>
              </w:rPr>
              <w:t>s</w:t>
            </w:r>
            <w:r w:rsidR="00537126" w:rsidRPr="006B2D43">
              <w:rPr>
                <w:sz w:val="20"/>
              </w:rPr>
              <w:t xml:space="preserve"> us to quantify accumulation in a variety of situations.</w:t>
            </w:r>
          </w:p>
          <w:p w14:paraId="221D28B9" w14:textId="3E2EACD0" w:rsidR="00B52357" w:rsidRDefault="00B52357" w:rsidP="00045B98">
            <w:pPr>
              <w:pStyle w:val="ListParagraph"/>
              <w:numPr>
                <w:ilvl w:val="0"/>
                <w:numId w:val="1"/>
              </w:numPr>
            </w:pPr>
            <w:r w:rsidRPr="006B2D43">
              <w:rPr>
                <w:sz w:val="20"/>
              </w:rPr>
              <w:t>As long as we can model how something is changing, we can then use integration to determine that change and even predict outcomes such as population for the future.</w:t>
            </w:r>
            <w:r w:rsidR="006B2D43" w:rsidRPr="006B2D43">
              <w:rPr>
                <w:sz w:val="20"/>
              </w:rPr>
              <w:t xml:space="preserve">  This unit explores different types of integration and ways to estimate solutions when integration is not an option.</w:t>
            </w:r>
          </w:p>
        </w:tc>
      </w:tr>
      <w:tr w:rsidR="005D5BF5" w14:paraId="221D28BC" w14:textId="77777777" w:rsidTr="00045B98">
        <w:trPr>
          <w:cnfStyle w:val="010000000000" w:firstRow="0" w:lastRow="1" w:firstColumn="0" w:lastColumn="0" w:oddVBand="0" w:evenVBand="0" w:oddHBand="0" w:evenHBand="0" w:firstRowFirstColumn="0" w:firstRowLastColumn="0" w:lastRowFirstColumn="0" w:lastRowLastColumn="0"/>
          <w:trHeight w:val="80"/>
        </w:trPr>
        <w:tc>
          <w:tcPr>
            <w:tcW w:w="0" w:type="auto"/>
          </w:tcPr>
          <w:p w14:paraId="221D28BB" w14:textId="77777777" w:rsidR="005D5BF5" w:rsidRDefault="005D5BF5">
            <w:pPr>
              <w:pStyle w:val="TableSpace"/>
            </w:pPr>
          </w:p>
        </w:tc>
      </w:tr>
    </w:tbl>
    <w:p w14:paraId="221D28BD" w14:textId="77777777" w:rsidR="008C7414" w:rsidRPr="006B2D43" w:rsidRDefault="008C7414">
      <w:pPr>
        <w:rPr>
          <w:color w:val="704A85" w:themeColor="accent5" w:themeShade="BF"/>
          <w:sz w:val="36"/>
          <w:szCs w:val="40"/>
        </w:rPr>
      </w:pPr>
      <w:r w:rsidRPr="006B2D43">
        <w:rPr>
          <w:color w:val="704A85" w:themeColor="accent5" w:themeShade="BF"/>
          <w:sz w:val="36"/>
          <w:szCs w:val="40"/>
        </w:rPr>
        <w:t>How we will show what we have learned…</w:t>
      </w:r>
    </w:p>
    <w:tbl>
      <w:tblPr>
        <w:tblStyle w:val="TableGrid"/>
        <w:tblpPr w:leftFromText="180" w:rightFromText="180" w:vertAnchor="text" w:horzAnchor="page" w:tblpX="861" w:tblpY="-137"/>
        <w:tblW w:w="0" w:type="auto"/>
        <w:tblLook w:val="04A0" w:firstRow="1" w:lastRow="0" w:firstColumn="1" w:lastColumn="0" w:noHBand="0" w:noVBand="1"/>
      </w:tblPr>
      <w:tblGrid>
        <w:gridCol w:w="3155"/>
        <w:gridCol w:w="3683"/>
      </w:tblGrid>
      <w:tr w:rsidR="00182538" w:rsidRPr="003B2CE8" w14:paraId="413E2833" w14:textId="77777777" w:rsidTr="004C3100">
        <w:trPr>
          <w:trHeight w:val="197"/>
        </w:trPr>
        <w:tc>
          <w:tcPr>
            <w:tcW w:w="3155" w:type="dxa"/>
          </w:tcPr>
          <w:p w14:paraId="27ECB270" w14:textId="77777777" w:rsidR="00182538" w:rsidRPr="005E0495" w:rsidRDefault="00182538" w:rsidP="004C3100">
            <w:pPr>
              <w:jc w:val="center"/>
              <w:rPr>
                <w:sz w:val="18"/>
                <w:szCs w:val="18"/>
              </w:rPr>
            </w:pPr>
            <w:r w:rsidRPr="005E0495">
              <w:rPr>
                <w:sz w:val="18"/>
                <w:szCs w:val="18"/>
              </w:rPr>
              <w:t>Formative Assessments</w:t>
            </w:r>
          </w:p>
        </w:tc>
        <w:tc>
          <w:tcPr>
            <w:tcW w:w="3683" w:type="dxa"/>
          </w:tcPr>
          <w:p w14:paraId="3E864CD4" w14:textId="77777777" w:rsidR="00182538" w:rsidRPr="005E0495" w:rsidRDefault="00182538" w:rsidP="004C3100">
            <w:pPr>
              <w:jc w:val="center"/>
              <w:rPr>
                <w:sz w:val="18"/>
                <w:szCs w:val="18"/>
              </w:rPr>
            </w:pPr>
            <w:r w:rsidRPr="005E0495">
              <w:rPr>
                <w:sz w:val="18"/>
                <w:szCs w:val="18"/>
              </w:rPr>
              <w:t>Summative Assessments</w:t>
            </w:r>
          </w:p>
        </w:tc>
      </w:tr>
      <w:tr w:rsidR="00182538" w:rsidRPr="003B2CE8" w14:paraId="06CA7509" w14:textId="77777777" w:rsidTr="004C3100">
        <w:trPr>
          <w:trHeight w:val="1928"/>
        </w:trPr>
        <w:tc>
          <w:tcPr>
            <w:tcW w:w="3155" w:type="dxa"/>
          </w:tcPr>
          <w:p w14:paraId="2FDC0E65" w14:textId="77777777" w:rsidR="00665ECE" w:rsidRPr="00436F92" w:rsidRDefault="00665ECE" w:rsidP="004C3100">
            <w:pPr>
              <w:pStyle w:val="ListParagraph"/>
              <w:rPr>
                <w:sz w:val="12"/>
                <w:szCs w:val="20"/>
              </w:rPr>
            </w:pPr>
          </w:p>
          <w:p w14:paraId="279711EB" w14:textId="712C4312" w:rsidR="00182538" w:rsidRPr="00665ECE" w:rsidRDefault="00665ECE" w:rsidP="004C3100">
            <w:pPr>
              <w:rPr>
                <w:sz w:val="20"/>
                <w:szCs w:val="20"/>
              </w:rPr>
            </w:pPr>
            <w:r w:rsidRPr="00665ECE">
              <w:rPr>
                <w:rFonts w:eastAsia="Times New Roman" w:cs="Times New Roman"/>
                <w:sz w:val="20"/>
                <w:szCs w:val="20"/>
              </w:rPr>
              <w:t>Ongoing formative assessments during lesson</w:t>
            </w:r>
            <w:r>
              <w:rPr>
                <w:rFonts w:eastAsia="Times New Roman" w:cs="Times New Roman"/>
                <w:sz w:val="20"/>
                <w:szCs w:val="20"/>
              </w:rPr>
              <w:t xml:space="preserve"> and </w:t>
            </w:r>
            <w:r w:rsidRPr="00665ECE">
              <w:rPr>
                <w:rFonts w:eastAsia="Times New Roman" w:cs="Times New Roman"/>
                <w:sz w:val="20"/>
                <w:szCs w:val="20"/>
              </w:rPr>
              <w:t xml:space="preserve">homework </w:t>
            </w:r>
            <w:r>
              <w:rPr>
                <w:rFonts w:eastAsia="Times New Roman" w:cs="Times New Roman"/>
                <w:sz w:val="20"/>
                <w:szCs w:val="20"/>
              </w:rPr>
              <w:t xml:space="preserve">activities </w:t>
            </w:r>
            <w:r w:rsidRPr="00665ECE">
              <w:rPr>
                <w:rFonts w:eastAsia="Times New Roman" w:cs="Times New Roman"/>
                <w:sz w:val="20"/>
                <w:szCs w:val="20"/>
              </w:rPr>
              <w:t xml:space="preserve">will help </w:t>
            </w:r>
            <w:r>
              <w:rPr>
                <w:rFonts w:eastAsia="Times New Roman" w:cs="Times New Roman"/>
                <w:sz w:val="20"/>
                <w:szCs w:val="20"/>
              </w:rPr>
              <w:t xml:space="preserve">in monitoring </w:t>
            </w:r>
            <w:r w:rsidRPr="00665ECE">
              <w:rPr>
                <w:rFonts w:eastAsia="Times New Roman" w:cs="Times New Roman"/>
                <w:iCs/>
                <w:sz w:val="20"/>
                <w:szCs w:val="20"/>
              </w:rPr>
              <w:t>learning</w:t>
            </w:r>
            <w:r w:rsidRPr="00665ECE">
              <w:rPr>
                <w:rFonts w:eastAsia="Times New Roman" w:cs="Times New Roman"/>
                <w:sz w:val="20"/>
                <w:szCs w:val="20"/>
              </w:rPr>
              <w:t xml:space="preserve"> and </w:t>
            </w:r>
            <w:r>
              <w:rPr>
                <w:rFonts w:eastAsia="Times New Roman" w:cs="Times New Roman"/>
                <w:sz w:val="20"/>
                <w:szCs w:val="20"/>
              </w:rPr>
              <w:t>providing</w:t>
            </w:r>
            <w:r w:rsidRPr="00665ECE">
              <w:rPr>
                <w:rFonts w:eastAsia="Times New Roman" w:cs="Times New Roman"/>
                <w:sz w:val="20"/>
                <w:szCs w:val="20"/>
              </w:rPr>
              <w:t xml:space="preserve"> feedback for students.  </w:t>
            </w:r>
          </w:p>
        </w:tc>
        <w:tc>
          <w:tcPr>
            <w:tcW w:w="3683" w:type="dxa"/>
          </w:tcPr>
          <w:p w14:paraId="4DFD3AED" w14:textId="6F75D65F" w:rsidR="00182538" w:rsidRPr="00665ECE" w:rsidRDefault="00C52DE6" w:rsidP="004C3100">
            <w:pPr>
              <w:pStyle w:val="ListParagraph"/>
              <w:numPr>
                <w:ilvl w:val="0"/>
                <w:numId w:val="5"/>
              </w:numPr>
              <w:ind w:left="342" w:hanging="180"/>
              <w:rPr>
                <w:sz w:val="20"/>
                <w:szCs w:val="20"/>
              </w:rPr>
            </w:pPr>
            <w:r>
              <w:rPr>
                <w:rFonts w:eastAsia="Times New Roman" w:cs="Times New Roman"/>
                <w:color w:val="auto"/>
                <w:sz w:val="20"/>
                <w:szCs w:val="20"/>
              </w:rPr>
              <w:t>Summative assessments to measure learning at the end of concepts will include teacher-made tests and a district common assessment, which includes multiple choice and free response questions.</w:t>
            </w:r>
          </w:p>
        </w:tc>
      </w:tr>
    </w:tbl>
    <w:p w14:paraId="1FF89311" w14:textId="19C994EC" w:rsidR="00182538" w:rsidRDefault="00182538" w:rsidP="00182538"/>
    <w:p w14:paraId="7B97E783" w14:textId="746E63D3" w:rsidR="00182538" w:rsidRPr="005E0495" w:rsidRDefault="00182538" w:rsidP="006B2D43">
      <w:pPr>
        <w:ind w:left="0"/>
        <w:rPr>
          <w:sz w:val="18"/>
          <w:szCs w:val="18"/>
        </w:rPr>
      </w:pPr>
    </w:p>
    <w:sectPr w:rsidR="00182538" w:rsidRPr="005E0495" w:rsidSect="006B2D43">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1EDB7" w14:textId="77777777" w:rsidR="004269D9" w:rsidRDefault="004269D9">
      <w:pPr>
        <w:spacing w:before="0" w:after="0" w:line="240" w:lineRule="auto"/>
      </w:pPr>
      <w:r>
        <w:separator/>
      </w:r>
    </w:p>
  </w:endnote>
  <w:endnote w:type="continuationSeparator" w:id="0">
    <w:p w14:paraId="19426046" w14:textId="77777777" w:rsidR="004269D9" w:rsidRDefault="00426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D094" w14:textId="77777777" w:rsidR="00566829" w:rsidRDefault="00566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FB28" w14:textId="77777777" w:rsidR="00566829" w:rsidRDefault="00566829" w:rsidP="00566829">
    <w:pPr>
      <w:pStyle w:val="Footer"/>
      <w:ind w:right="-180"/>
      <w:rPr>
        <w:sz w:val="20"/>
        <w:szCs w:val="20"/>
      </w:rPr>
    </w:pPr>
    <w:r>
      <w:rPr>
        <w:rFonts w:ascii="Times New Roman" w:hAnsi="Times New Roman" w:cs="Times New Roman"/>
        <w:noProof/>
      </w:rPr>
      <w:drawing>
        <wp:anchor distT="0" distB="0" distL="114300" distR="114300" simplePos="0" relativeHeight="251659264" behindDoc="1" locked="0" layoutInCell="1" allowOverlap="1" wp14:anchorId="531ED66C" wp14:editId="6114C5F3">
          <wp:simplePos x="0" y="0"/>
          <wp:positionH relativeFrom="margin">
            <wp:posOffset>0</wp:posOffset>
          </wp:positionH>
          <wp:positionV relativeFrom="paragraph">
            <wp:posOffset>356235</wp:posOffset>
          </wp:positionV>
          <wp:extent cx="1943100" cy="597535"/>
          <wp:effectExtent l="0" t="0" r="0" b="0"/>
          <wp:wrapTight wrapText="bothSides">
            <wp:wrapPolygon edited="0">
              <wp:start x="0" y="0"/>
              <wp:lineTo x="0" y="20659"/>
              <wp:lineTo x="21388" y="20659"/>
              <wp:lineTo x="213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culum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597535"/>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                                                                                                                                                 </w:t>
    </w:r>
  </w:p>
  <w:p w14:paraId="56932FD5" w14:textId="77777777" w:rsidR="00566829" w:rsidRDefault="00566829" w:rsidP="00566829">
    <w:pPr>
      <w:pStyle w:val="Footer"/>
      <w:tabs>
        <w:tab w:val="left" w:pos="3600"/>
      </w:tabs>
      <w:ind w:right="-180"/>
      <w:rPr>
        <w:sz w:val="20"/>
        <w:szCs w:val="20"/>
      </w:rPr>
    </w:pPr>
    <w:r>
      <w:rPr>
        <w:sz w:val="20"/>
        <w:szCs w:val="20"/>
      </w:rPr>
      <w:t xml:space="preserve">                         Questions? </w:t>
    </w:r>
    <w:r w:rsidRPr="006F79B1">
      <w:rPr>
        <w:sz w:val="20"/>
        <w:szCs w:val="20"/>
      </w:rPr>
      <w:t xml:space="preserve"> </w:t>
    </w:r>
    <w:r>
      <w:rPr>
        <w:sz w:val="20"/>
        <w:szCs w:val="20"/>
      </w:rPr>
      <w:t xml:space="preserve">Please contact your Math </w:t>
    </w:r>
    <w:r w:rsidRPr="006F79B1">
      <w:rPr>
        <w:sz w:val="20"/>
        <w:szCs w:val="20"/>
      </w:rPr>
      <w:t>teacher.</w:t>
    </w:r>
  </w:p>
  <w:p w14:paraId="679ED358" w14:textId="77777777" w:rsidR="00566829" w:rsidRPr="006F79B1" w:rsidRDefault="00566829" w:rsidP="00566829">
    <w:pPr>
      <w:pStyle w:val="Footer"/>
      <w:tabs>
        <w:tab w:val="left" w:pos="3600"/>
      </w:tabs>
      <w:rPr>
        <w:sz w:val="20"/>
        <w:szCs w:val="20"/>
      </w:rPr>
    </w:pPr>
    <w:r>
      <w:rPr>
        <w:sz w:val="20"/>
        <w:szCs w:val="20"/>
      </w:rPr>
      <w:tab/>
    </w:r>
    <w:r>
      <w:rPr>
        <w:sz w:val="20"/>
        <w:szCs w:val="20"/>
      </w:rPr>
      <w:tab/>
      <w:t xml:space="preserve">                                              --Your EMS-ISD Calculus</w:t>
    </w:r>
    <w:r w:rsidRPr="006F79B1">
      <w:rPr>
        <w:sz w:val="20"/>
        <w:szCs w:val="20"/>
      </w:rPr>
      <w:t xml:space="preserve"> Team</w:t>
    </w:r>
  </w:p>
  <w:p w14:paraId="221D28D8" w14:textId="2B369D5E" w:rsidR="00481C43" w:rsidRPr="00566829" w:rsidRDefault="00481C43" w:rsidP="00566829">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68C07" w14:textId="77777777" w:rsidR="00566829" w:rsidRDefault="00566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9EBDA" w14:textId="77777777" w:rsidR="004269D9" w:rsidRDefault="004269D9">
      <w:pPr>
        <w:spacing w:before="0" w:after="0" w:line="240" w:lineRule="auto"/>
      </w:pPr>
      <w:r>
        <w:separator/>
      </w:r>
    </w:p>
  </w:footnote>
  <w:footnote w:type="continuationSeparator" w:id="0">
    <w:p w14:paraId="5ED05647" w14:textId="77777777" w:rsidR="004269D9" w:rsidRDefault="004269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0B2D4" w14:textId="77777777" w:rsidR="00566829" w:rsidRDefault="00566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E93C" w14:textId="77777777" w:rsidR="00566829" w:rsidRDefault="00566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39DD" w14:textId="77777777" w:rsidR="00566829" w:rsidRDefault="00566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26381"/>
    <w:multiLevelType w:val="hybridMultilevel"/>
    <w:tmpl w:val="2D1E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D190A"/>
    <w:multiLevelType w:val="hybridMultilevel"/>
    <w:tmpl w:val="995E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7428A"/>
    <w:multiLevelType w:val="hybridMultilevel"/>
    <w:tmpl w:val="E40416DA"/>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6F513669"/>
    <w:multiLevelType w:val="hybridMultilevel"/>
    <w:tmpl w:val="401A6FA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77013B52"/>
    <w:multiLevelType w:val="hybridMultilevel"/>
    <w:tmpl w:val="F7BEDDDE"/>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14"/>
    <w:rsid w:val="00001C44"/>
    <w:rsid w:val="00045B98"/>
    <w:rsid w:val="00071FE2"/>
    <w:rsid w:val="000B562A"/>
    <w:rsid w:val="0016703B"/>
    <w:rsid w:val="00182538"/>
    <w:rsid w:val="00250DF5"/>
    <w:rsid w:val="002A6BB0"/>
    <w:rsid w:val="002B5AE4"/>
    <w:rsid w:val="002C0C22"/>
    <w:rsid w:val="002F6400"/>
    <w:rsid w:val="0030041A"/>
    <w:rsid w:val="00362E46"/>
    <w:rsid w:val="003B0FA1"/>
    <w:rsid w:val="003D3118"/>
    <w:rsid w:val="0040760A"/>
    <w:rsid w:val="00415FB3"/>
    <w:rsid w:val="004269D9"/>
    <w:rsid w:val="00436F92"/>
    <w:rsid w:val="00481C43"/>
    <w:rsid w:val="004C3100"/>
    <w:rsid w:val="004E282B"/>
    <w:rsid w:val="004E37D8"/>
    <w:rsid w:val="004F279A"/>
    <w:rsid w:val="00537126"/>
    <w:rsid w:val="00566829"/>
    <w:rsid w:val="005A6CD3"/>
    <w:rsid w:val="005C2D77"/>
    <w:rsid w:val="005D5BF5"/>
    <w:rsid w:val="005E0495"/>
    <w:rsid w:val="00633F7F"/>
    <w:rsid w:val="00665ECE"/>
    <w:rsid w:val="006B2D43"/>
    <w:rsid w:val="006C0C3E"/>
    <w:rsid w:val="006F79B1"/>
    <w:rsid w:val="0070016C"/>
    <w:rsid w:val="007821C8"/>
    <w:rsid w:val="007B34AB"/>
    <w:rsid w:val="008168EC"/>
    <w:rsid w:val="008C7414"/>
    <w:rsid w:val="008E572B"/>
    <w:rsid w:val="009A04FD"/>
    <w:rsid w:val="009A1941"/>
    <w:rsid w:val="00B52357"/>
    <w:rsid w:val="00B57EF5"/>
    <w:rsid w:val="00C321F4"/>
    <w:rsid w:val="00C522A4"/>
    <w:rsid w:val="00C52DE6"/>
    <w:rsid w:val="00CF247B"/>
    <w:rsid w:val="00D00C6F"/>
    <w:rsid w:val="00D32517"/>
    <w:rsid w:val="00E92FCF"/>
    <w:rsid w:val="00F1017E"/>
    <w:rsid w:val="00F678B9"/>
    <w:rsid w:val="00FA7B30"/>
    <w:rsid w:val="00FE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D28A6"/>
  <w15:chartTrackingRefBased/>
  <w15:docId w15:val="{BD84A405-9759-4C38-B8E8-A1EEB11F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ListParagraph">
    <w:name w:val="List Paragraph"/>
    <w:basedOn w:val="Normal"/>
    <w:uiPriority w:val="34"/>
    <w:qFormat/>
    <w:rsid w:val="008C7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ilson\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65994751-96FD-4698-92E0-70BC0B68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1</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Wilson</dc:creator>
  <cp:keywords/>
  <cp:lastModifiedBy>Andrea Volding</cp:lastModifiedBy>
  <cp:revision>4</cp:revision>
  <dcterms:created xsi:type="dcterms:W3CDTF">2017-06-26T19:24:00Z</dcterms:created>
  <dcterms:modified xsi:type="dcterms:W3CDTF">2018-07-31T18:56:00Z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